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FC0CD" w14:textId="77777777" w:rsidR="00784ADB" w:rsidRDefault="00AB5C29" w:rsidP="00784ADB">
      <w:pPr>
        <w:pStyle w:val="NormalWeb"/>
        <w:spacing w:after="0"/>
        <w:jc w:val="center"/>
        <w:rPr>
          <w:b/>
          <w:bCs/>
          <w:sz w:val="27"/>
          <w:szCs w:val="27"/>
          <w:lang w:val="fr-FR"/>
        </w:rPr>
      </w:pPr>
      <w:r>
        <w:rPr>
          <w:b/>
          <w:bCs/>
          <w:sz w:val="27"/>
          <w:szCs w:val="27"/>
          <w:lang w:val="fr-FR"/>
        </w:rPr>
        <w:t>L</w:t>
      </w:r>
      <w:r w:rsidR="00784ADB" w:rsidRPr="00AB5C29">
        <w:rPr>
          <w:b/>
          <w:bCs/>
          <w:sz w:val="27"/>
          <w:szCs w:val="27"/>
          <w:lang w:val="fr-FR"/>
        </w:rPr>
        <w:t>a colonialité du savoir au prisme de la muséologie (post)coloniale</w:t>
      </w:r>
      <w:r>
        <w:rPr>
          <w:b/>
          <w:bCs/>
          <w:sz w:val="27"/>
          <w:szCs w:val="27"/>
          <w:lang w:val="fr-FR"/>
        </w:rPr>
        <w:t>, l’exemple de la « rénovation » du Musée royal de l’Afrique centrale</w:t>
      </w:r>
    </w:p>
    <w:p w14:paraId="0B446A71" w14:textId="77777777" w:rsidR="003D6C0A" w:rsidRPr="00AB5C29" w:rsidRDefault="003D6C0A" w:rsidP="00784ADB">
      <w:pPr>
        <w:pStyle w:val="NormalWeb"/>
        <w:spacing w:after="0"/>
        <w:jc w:val="center"/>
        <w:rPr>
          <w:lang w:val="fr-FR"/>
        </w:rPr>
      </w:pPr>
    </w:p>
    <w:p w14:paraId="5AB42F17" w14:textId="77777777" w:rsidR="00AB5C29" w:rsidRDefault="00784ADB" w:rsidP="00784ADB">
      <w:pPr>
        <w:pStyle w:val="NormalWeb"/>
        <w:spacing w:after="0"/>
        <w:ind w:left="-567" w:right="-631" w:firstLine="567"/>
        <w:jc w:val="both"/>
        <w:rPr>
          <w:color w:val="000000"/>
          <w:sz w:val="24"/>
          <w:szCs w:val="24"/>
          <w:lang w:val="fr-FR"/>
        </w:rPr>
      </w:pPr>
      <w:r w:rsidRPr="00AB5C29">
        <w:rPr>
          <w:color w:val="000000"/>
          <w:sz w:val="24"/>
          <w:szCs w:val="24"/>
          <w:lang w:val="fr-FR"/>
        </w:rPr>
        <w:t>Dans cette intervention nous reviendrons sur les conclusions d'une enquête de terrain, réalisée au Musée royal de l'Afrique centrale</w:t>
      </w:r>
      <w:r w:rsidR="00AB5C29">
        <w:rPr>
          <w:color w:val="000000"/>
          <w:sz w:val="24"/>
          <w:szCs w:val="24"/>
          <w:lang w:val="fr-FR"/>
        </w:rPr>
        <w:t xml:space="preserve"> à Tervuren, entre septembre 2014 et</w:t>
      </w:r>
      <w:r w:rsidRPr="00AB5C29">
        <w:rPr>
          <w:color w:val="000000"/>
          <w:sz w:val="24"/>
          <w:szCs w:val="24"/>
          <w:lang w:val="fr-FR"/>
        </w:rPr>
        <w:t xml:space="preserve"> mai-juin 2015, afin de dégager la permanence d'un impensé : la </w:t>
      </w:r>
      <w:r w:rsidRPr="00AB5C29">
        <w:rPr>
          <w:i/>
          <w:iCs/>
          <w:color w:val="000000"/>
          <w:sz w:val="24"/>
          <w:szCs w:val="24"/>
          <w:lang w:val="fr-FR"/>
        </w:rPr>
        <w:t>colonialité du savoir</w:t>
      </w:r>
      <w:r w:rsidRPr="00AB5C29">
        <w:rPr>
          <w:color w:val="000000"/>
          <w:sz w:val="24"/>
          <w:szCs w:val="24"/>
          <w:lang w:val="fr-FR"/>
        </w:rPr>
        <w:t xml:space="preserve"> en jeu dans les formes de muséographie mises en place dans les expositions permanente</w:t>
      </w:r>
      <w:r w:rsidR="00AB5C29">
        <w:rPr>
          <w:color w:val="000000"/>
          <w:sz w:val="24"/>
          <w:szCs w:val="24"/>
          <w:lang w:val="fr-FR"/>
        </w:rPr>
        <w:t>s</w:t>
      </w:r>
      <w:r w:rsidRPr="00AB5C29">
        <w:rPr>
          <w:color w:val="000000"/>
          <w:sz w:val="24"/>
          <w:szCs w:val="24"/>
          <w:lang w:val="fr-FR"/>
        </w:rPr>
        <w:t xml:space="preserve"> du</w:t>
      </w:r>
      <w:r w:rsidR="00AB5C29">
        <w:rPr>
          <w:color w:val="000000"/>
          <w:sz w:val="24"/>
          <w:szCs w:val="24"/>
          <w:lang w:val="fr-FR"/>
        </w:rPr>
        <w:t xml:space="preserve"> musée</w:t>
      </w:r>
      <w:r w:rsidRPr="00AB5C29">
        <w:rPr>
          <w:color w:val="000000"/>
          <w:sz w:val="24"/>
          <w:szCs w:val="24"/>
          <w:lang w:val="fr-FR"/>
        </w:rPr>
        <w:t xml:space="preserve">. </w:t>
      </w:r>
    </w:p>
    <w:p w14:paraId="4D7F6E7B" w14:textId="77777777" w:rsidR="00AB5C29" w:rsidRPr="002F71D5" w:rsidRDefault="00AB5C29" w:rsidP="002F71D5">
      <w:pPr>
        <w:pStyle w:val="NormalWeb"/>
        <w:spacing w:after="0"/>
        <w:ind w:left="-567" w:right="-631" w:firstLine="567"/>
        <w:jc w:val="both"/>
        <w:rPr>
          <w:sz w:val="24"/>
          <w:szCs w:val="24"/>
          <w:lang w:val="fr-FR"/>
        </w:rPr>
      </w:pPr>
      <w:r>
        <w:rPr>
          <w:sz w:val="24"/>
          <w:szCs w:val="24"/>
          <w:lang w:val="fr-FR"/>
        </w:rPr>
        <w:t>Le musée de Tervuren a été fondé</w:t>
      </w:r>
      <w:r w:rsidR="004B33BA">
        <w:rPr>
          <w:sz w:val="24"/>
          <w:szCs w:val="24"/>
          <w:lang w:val="fr-FR"/>
        </w:rPr>
        <w:t>, dans le domaine royal de Tervuren,</w:t>
      </w:r>
      <w:r>
        <w:rPr>
          <w:sz w:val="24"/>
          <w:szCs w:val="24"/>
          <w:lang w:val="fr-FR"/>
        </w:rPr>
        <w:t xml:space="preserve"> à</w:t>
      </w:r>
      <w:r w:rsidRPr="00AB5C29">
        <w:rPr>
          <w:sz w:val="24"/>
          <w:szCs w:val="24"/>
          <w:lang w:val="fr-FR"/>
        </w:rPr>
        <w:t xml:space="preserve"> l’occasion de l</w:t>
      </w:r>
      <w:r>
        <w:rPr>
          <w:sz w:val="24"/>
          <w:szCs w:val="24"/>
          <w:lang w:val="fr-FR"/>
        </w:rPr>
        <w:t>'Exposition universelle de 1897</w:t>
      </w:r>
      <w:r w:rsidR="004B33BA">
        <w:rPr>
          <w:sz w:val="24"/>
          <w:szCs w:val="24"/>
          <w:lang w:val="fr-FR"/>
        </w:rPr>
        <w:t xml:space="preserve"> (</w:t>
      </w:r>
      <w:r w:rsidRPr="00AB5C29">
        <w:rPr>
          <w:sz w:val="24"/>
          <w:szCs w:val="24"/>
          <w:lang w:val="fr-FR"/>
        </w:rPr>
        <w:t>« Palais des Colonies »</w:t>
      </w:r>
      <w:r w:rsidR="004B33BA">
        <w:rPr>
          <w:sz w:val="24"/>
          <w:szCs w:val="24"/>
          <w:lang w:val="fr-FR"/>
        </w:rPr>
        <w:t>). Le projet,</w:t>
      </w:r>
      <w:r w:rsidRPr="00AB5C29">
        <w:rPr>
          <w:sz w:val="24"/>
          <w:szCs w:val="24"/>
          <w:lang w:val="fr-FR"/>
        </w:rPr>
        <w:t xml:space="preserve"> </w:t>
      </w:r>
      <w:r w:rsidR="004B33BA">
        <w:rPr>
          <w:sz w:val="24"/>
          <w:szCs w:val="24"/>
          <w:lang w:val="fr-FR"/>
        </w:rPr>
        <w:t xml:space="preserve">voulu par Léopold II, </w:t>
      </w:r>
      <w:r w:rsidRPr="00AB5C29">
        <w:rPr>
          <w:sz w:val="24"/>
          <w:szCs w:val="24"/>
          <w:lang w:val="fr-FR"/>
        </w:rPr>
        <w:t>fut d'offri</w:t>
      </w:r>
      <w:r w:rsidR="003D6C0A">
        <w:rPr>
          <w:sz w:val="24"/>
          <w:szCs w:val="24"/>
          <w:lang w:val="fr-FR"/>
        </w:rPr>
        <w:t xml:space="preserve">r une vitrine de propagande à son </w:t>
      </w:r>
      <w:r w:rsidRPr="00AB5C29">
        <w:rPr>
          <w:sz w:val="24"/>
          <w:szCs w:val="24"/>
          <w:lang w:val="fr-FR"/>
        </w:rPr>
        <w:t>entreprise coloniale</w:t>
      </w:r>
      <w:r w:rsidR="004B33BA" w:rsidRPr="00AB5C29">
        <w:rPr>
          <w:sz w:val="24"/>
          <w:szCs w:val="24"/>
          <w:lang w:val="fr-FR"/>
        </w:rPr>
        <w:t xml:space="preserve">. </w:t>
      </w:r>
      <w:r w:rsidRPr="00AB5C29">
        <w:rPr>
          <w:sz w:val="24"/>
          <w:szCs w:val="24"/>
          <w:lang w:val="fr-FR"/>
        </w:rPr>
        <w:t>Le Musée du Congo fut un outil économ</w:t>
      </w:r>
      <w:r w:rsidR="002F71D5">
        <w:rPr>
          <w:sz w:val="24"/>
          <w:szCs w:val="24"/>
          <w:lang w:val="fr-FR"/>
        </w:rPr>
        <w:t>ique et idéologique impérial</w:t>
      </w:r>
      <w:r w:rsidR="004B33BA">
        <w:rPr>
          <w:sz w:val="24"/>
          <w:szCs w:val="24"/>
          <w:lang w:val="fr-FR"/>
        </w:rPr>
        <w:t xml:space="preserve"> (</w:t>
      </w:r>
      <w:r w:rsidR="002F71D5">
        <w:rPr>
          <w:sz w:val="24"/>
          <w:szCs w:val="24"/>
          <w:lang w:val="fr-FR"/>
        </w:rPr>
        <w:t>« </w:t>
      </w:r>
      <w:r w:rsidR="002F71D5">
        <w:rPr>
          <w:i/>
          <w:sz w:val="24"/>
          <w:szCs w:val="24"/>
          <w:lang w:val="fr-FR"/>
        </w:rPr>
        <w:t>temples of empire </w:t>
      </w:r>
      <w:r w:rsidR="002F71D5" w:rsidRPr="002F71D5">
        <w:rPr>
          <w:sz w:val="24"/>
          <w:szCs w:val="24"/>
          <w:lang w:val="fr-FR"/>
        </w:rPr>
        <w:t>»</w:t>
      </w:r>
      <w:r w:rsidR="002F71D5">
        <w:rPr>
          <w:i/>
          <w:sz w:val="24"/>
          <w:szCs w:val="24"/>
          <w:lang w:val="fr-FR"/>
        </w:rPr>
        <w:t xml:space="preserve">, </w:t>
      </w:r>
      <w:r w:rsidR="002F71D5">
        <w:rPr>
          <w:sz w:val="24"/>
          <w:szCs w:val="24"/>
          <w:lang w:val="fr-FR"/>
        </w:rPr>
        <w:t>Coombes, 1997)</w:t>
      </w:r>
      <w:r w:rsidRPr="00AB5C29">
        <w:rPr>
          <w:sz w:val="24"/>
          <w:szCs w:val="24"/>
          <w:lang w:val="fr-FR"/>
        </w:rPr>
        <w:t xml:space="preserve">. Le développement des pratiques muséales </w:t>
      </w:r>
      <w:r w:rsidR="002F71D5">
        <w:rPr>
          <w:sz w:val="24"/>
          <w:szCs w:val="24"/>
          <w:lang w:val="fr-FR"/>
        </w:rPr>
        <w:t xml:space="preserve">à Tervuren </w:t>
      </w:r>
      <w:r w:rsidR="003D6C0A">
        <w:rPr>
          <w:sz w:val="24"/>
          <w:szCs w:val="24"/>
          <w:lang w:val="fr-FR"/>
        </w:rPr>
        <w:t>fut</w:t>
      </w:r>
      <w:r w:rsidRPr="00AB5C29">
        <w:rPr>
          <w:sz w:val="24"/>
          <w:szCs w:val="24"/>
          <w:lang w:val="fr-FR"/>
        </w:rPr>
        <w:t xml:space="preserve"> </w:t>
      </w:r>
      <w:r w:rsidR="00E63500">
        <w:rPr>
          <w:sz w:val="24"/>
          <w:szCs w:val="24"/>
          <w:lang w:val="fr-FR"/>
        </w:rPr>
        <w:t xml:space="preserve">donc </w:t>
      </w:r>
      <w:r w:rsidRPr="00AB5C29">
        <w:rPr>
          <w:sz w:val="24"/>
          <w:szCs w:val="24"/>
          <w:lang w:val="fr-FR"/>
        </w:rPr>
        <w:t>indissociable de</w:t>
      </w:r>
      <w:r w:rsidR="002F71D5">
        <w:rPr>
          <w:sz w:val="24"/>
          <w:szCs w:val="24"/>
          <w:lang w:val="fr-FR"/>
        </w:rPr>
        <w:t xml:space="preserve"> l'entreprise coloniale et du processus de</w:t>
      </w:r>
      <w:r w:rsidRPr="00AB5C29">
        <w:rPr>
          <w:sz w:val="24"/>
          <w:szCs w:val="24"/>
          <w:lang w:val="fr-FR"/>
        </w:rPr>
        <w:t xml:space="preserve"> constitution des Etats-nations (Asselberghs et Lesage, 1999)</w:t>
      </w:r>
      <w:r w:rsidR="002F71D5">
        <w:rPr>
          <w:sz w:val="24"/>
          <w:szCs w:val="24"/>
          <w:lang w:val="fr-FR"/>
        </w:rPr>
        <w:t xml:space="preserve">. </w:t>
      </w:r>
      <w:r w:rsidRPr="00AB5C29">
        <w:rPr>
          <w:sz w:val="24"/>
          <w:szCs w:val="24"/>
          <w:lang w:val="fr-FR"/>
        </w:rPr>
        <w:t>Le Musée royal d</w:t>
      </w:r>
      <w:r w:rsidR="003D6C0A">
        <w:rPr>
          <w:sz w:val="24"/>
          <w:szCs w:val="24"/>
          <w:lang w:val="fr-FR"/>
        </w:rPr>
        <w:t>e l</w:t>
      </w:r>
      <w:r w:rsidRPr="00AB5C29">
        <w:rPr>
          <w:sz w:val="24"/>
          <w:szCs w:val="24"/>
          <w:lang w:val="fr-FR"/>
        </w:rPr>
        <w:t xml:space="preserve">'Afrique centrale est fermé depuis le 1er décembre 2013 et devrait ré-ouvrir ses portes en 2017. Il est donc actuellement en « rénovation ». </w:t>
      </w:r>
    </w:p>
    <w:p w14:paraId="2CBE3874" w14:textId="77777777" w:rsidR="002C7261" w:rsidRDefault="00784ADB" w:rsidP="003D6C0A">
      <w:pPr>
        <w:pStyle w:val="NormalWeb"/>
        <w:spacing w:after="0"/>
        <w:ind w:left="-567" w:right="-631" w:firstLine="567"/>
        <w:jc w:val="both"/>
        <w:rPr>
          <w:sz w:val="24"/>
          <w:szCs w:val="24"/>
          <w:lang w:val="fr-FR"/>
        </w:rPr>
      </w:pPr>
      <w:r w:rsidRPr="00AB5C29">
        <w:rPr>
          <w:sz w:val="24"/>
          <w:szCs w:val="24"/>
          <w:lang w:val="fr-FR"/>
        </w:rPr>
        <w:t>Toute personne ayant côtoyé ces dernières années le Musée de Tervuren ne peut qu'avoir été frappé par l'intensité de l'activité muséographique au regard de la remarquable torpeur m</w:t>
      </w:r>
      <w:r w:rsidR="00E63500">
        <w:rPr>
          <w:sz w:val="24"/>
          <w:szCs w:val="24"/>
          <w:lang w:val="fr-FR"/>
        </w:rPr>
        <w:t>uséale qui a caractérisé la période qui a suivie</w:t>
      </w:r>
      <w:r w:rsidRPr="00AB5C29">
        <w:rPr>
          <w:sz w:val="24"/>
          <w:szCs w:val="24"/>
          <w:lang w:val="fr-FR"/>
        </w:rPr>
        <w:t xml:space="preserve"> </w:t>
      </w:r>
      <w:r w:rsidR="00E63500">
        <w:rPr>
          <w:sz w:val="24"/>
          <w:szCs w:val="24"/>
          <w:lang w:val="fr-FR"/>
        </w:rPr>
        <w:t>l’I</w:t>
      </w:r>
      <w:r w:rsidRPr="00AB5C29">
        <w:rPr>
          <w:sz w:val="24"/>
          <w:szCs w:val="24"/>
          <w:lang w:val="fr-FR"/>
        </w:rPr>
        <w:t xml:space="preserve">ndépendance du Congo. </w:t>
      </w:r>
      <w:r w:rsidR="002C7261">
        <w:rPr>
          <w:sz w:val="24"/>
          <w:szCs w:val="24"/>
          <w:lang w:val="fr-FR"/>
        </w:rPr>
        <w:t>En effet, l</w:t>
      </w:r>
      <w:r w:rsidRPr="00AB5C29">
        <w:rPr>
          <w:sz w:val="24"/>
          <w:szCs w:val="24"/>
          <w:lang w:val="fr-FR"/>
        </w:rPr>
        <w:t>a décolonisation du Congo n'a mené à aucun changement majeur dans la mise en scène des collections du Musée. Au con</w:t>
      </w:r>
      <w:r w:rsidR="002F71D5">
        <w:rPr>
          <w:sz w:val="24"/>
          <w:szCs w:val="24"/>
          <w:lang w:val="fr-FR"/>
        </w:rPr>
        <w:t xml:space="preserve">traire, la muséographie </w:t>
      </w:r>
      <w:r w:rsidRPr="00AB5C29">
        <w:rPr>
          <w:sz w:val="24"/>
          <w:szCs w:val="24"/>
          <w:lang w:val="fr-FR"/>
        </w:rPr>
        <w:t>a continué de reconduire un récit profondément ancré dans la légitimation de l'entreprise coloniale de façon similaire à celui qui avait cours avant 1960. Cette absence de transformation critique est d'autant plus significative au regard des remises en causes qui ont déjà été effectuées dans des institutions similaires en Europe.</w:t>
      </w:r>
      <w:r w:rsidR="003D6C0A">
        <w:rPr>
          <w:sz w:val="24"/>
          <w:szCs w:val="24"/>
          <w:lang w:val="fr-FR"/>
        </w:rPr>
        <w:t xml:space="preserve"> </w:t>
      </w:r>
      <w:r w:rsidRPr="00AB5C29">
        <w:rPr>
          <w:sz w:val="24"/>
          <w:szCs w:val="24"/>
          <w:lang w:val="fr-FR"/>
        </w:rPr>
        <w:t xml:space="preserve">A la veille de sa « rénovation », le Musée royal de l'Afrique centrale est probablement le dernier musée colonial du Monde. </w:t>
      </w:r>
    </w:p>
    <w:p w14:paraId="188896D4" w14:textId="77777777" w:rsidR="00AB5C29" w:rsidRDefault="00AB5C29" w:rsidP="00E63500">
      <w:pPr>
        <w:pStyle w:val="NormalWeb"/>
        <w:spacing w:after="0"/>
        <w:ind w:left="-567" w:right="-631" w:firstLine="567"/>
        <w:jc w:val="both"/>
        <w:rPr>
          <w:color w:val="000000"/>
          <w:sz w:val="24"/>
          <w:szCs w:val="24"/>
          <w:lang w:val="fr-FR"/>
        </w:rPr>
      </w:pPr>
      <w:r w:rsidRPr="00AB5C29">
        <w:rPr>
          <w:color w:val="000000"/>
          <w:sz w:val="24"/>
          <w:szCs w:val="24"/>
          <w:lang w:val="fr-FR"/>
        </w:rPr>
        <w:t xml:space="preserve">Le concept de « colonialité » (Quijano, 1999) permet de rendre compte des continuités et des héritages d'une articulation planétaire de la domination « occidentale » par-delà le colonialisme et les indépendances. Cette forme singulière de pouvoir </w:t>
      </w:r>
      <w:r w:rsidR="003D6C0A">
        <w:rPr>
          <w:color w:val="000000"/>
          <w:sz w:val="24"/>
          <w:szCs w:val="24"/>
          <w:lang w:val="fr-FR"/>
        </w:rPr>
        <w:t xml:space="preserve">s'articule </w:t>
      </w:r>
      <w:r w:rsidRPr="00AB5C29">
        <w:rPr>
          <w:color w:val="000000"/>
          <w:sz w:val="24"/>
          <w:szCs w:val="24"/>
          <w:lang w:val="fr-FR"/>
        </w:rPr>
        <w:t>sur une dimension ontologique (</w:t>
      </w:r>
      <w:r w:rsidRPr="00AB5C29">
        <w:rPr>
          <w:i/>
          <w:iCs/>
          <w:color w:val="000000"/>
          <w:sz w:val="24"/>
          <w:szCs w:val="24"/>
          <w:lang w:val="fr-FR"/>
        </w:rPr>
        <w:t>colonialité de l'être</w:t>
      </w:r>
      <w:r w:rsidRPr="00AB5C29">
        <w:rPr>
          <w:color w:val="000000"/>
          <w:sz w:val="24"/>
          <w:szCs w:val="24"/>
          <w:lang w:val="fr-FR"/>
        </w:rPr>
        <w:t>) et épistémologique (</w:t>
      </w:r>
      <w:r w:rsidRPr="00AB5C29">
        <w:rPr>
          <w:i/>
          <w:iCs/>
          <w:color w:val="000000"/>
          <w:sz w:val="24"/>
          <w:szCs w:val="24"/>
          <w:lang w:val="fr-FR"/>
        </w:rPr>
        <w:t>colonialité du savoir</w:t>
      </w:r>
      <w:r w:rsidRPr="00AB5C29">
        <w:rPr>
          <w:color w:val="000000"/>
          <w:sz w:val="24"/>
          <w:szCs w:val="24"/>
          <w:lang w:val="fr-FR"/>
        </w:rPr>
        <w:t>) résultant de diverses modalités d'eurocentrisme (</w:t>
      </w:r>
      <w:r w:rsidRPr="00AB5C29">
        <w:rPr>
          <w:rStyle w:val="Strong"/>
          <w:b w:val="0"/>
          <w:bCs w:val="0"/>
          <w:color w:val="000000"/>
          <w:sz w:val="24"/>
          <w:szCs w:val="24"/>
          <w:lang w:val="fr-FR"/>
        </w:rPr>
        <w:t>Escobar et Restrepo, 2010</w:t>
      </w:r>
      <w:r w:rsidRPr="00AB5C29">
        <w:rPr>
          <w:color w:val="000000"/>
          <w:sz w:val="24"/>
          <w:szCs w:val="24"/>
          <w:lang w:val="fr-FR"/>
        </w:rPr>
        <w:t xml:space="preserve">). </w:t>
      </w:r>
      <w:r w:rsidR="003D6C0A">
        <w:rPr>
          <w:color w:val="000000"/>
          <w:sz w:val="24"/>
          <w:szCs w:val="24"/>
          <w:lang w:val="fr-FR"/>
        </w:rPr>
        <w:t xml:space="preserve">Il s’agira dès lors de saisir </w:t>
      </w:r>
      <w:r w:rsidRPr="00AB5C29">
        <w:rPr>
          <w:color w:val="000000"/>
          <w:sz w:val="24"/>
          <w:szCs w:val="24"/>
          <w:lang w:val="fr-FR"/>
        </w:rPr>
        <w:t>une dimension spécifique de la colonialité qui se loge au cœur des pratiques muséographiques les plus contemporaines, y compris celles qui s'identifient comme « post-coloniale</w:t>
      </w:r>
      <w:r w:rsidR="00E63500">
        <w:rPr>
          <w:color w:val="000000"/>
          <w:sz w:val="24"/>
          <w:szCs w:val="24"/>
          <w:lang w:val="fr-FR"/>
        </w:rPr>
        <w:t>s</w:t>
      </w:r>
      <w:r w:rsidRPr="00AB5C29">
        <w:rPr>
          <w:color w:val="000000"/>
          <w:sz w:val="24"/>
          <w:szCs w:val="24"/>
          <w:lang w:val="fr-FR"/>
        </w:rPr>
        <w:t xml:space="preserve"> ». </w:t>
      </w:r>
      <w:r w:rsidR="00E63500">
        <w:rPr>
          <w:color w:val="000000"/>
          <w:sz w:val="24"/>
          <w:szCs w:val="24"/>
          <w:lang w:val="fr-FR"/>
        </w:rPr>
        <w:t>Afin de mettre ce concept à l’épreuve, n</w:t>
      </w:r>
      <w:r w:rsidRPr="00AB5C29">
        <w:rPr>
          <w:color w:val="000000"/>
          <w:sz w:val="24"/>
          <w:szCs w:val="24"/>
          <w:lang w:val="fr-FR"/>
        </w:rPr>
        <w:t>ous reviendrons sur le processus de « rénovation » en cours de l'exposition permanente du Musée royal de l'Afrique centrale, ainsi que sur l</w:t>
      </w:r>
      <w:r w:rsidR="00414C77">
        <w:rPr>
          <w:color w:val="000000"/>
          <w:sz w:val="24"/>
          <w:szCs w:val="24"/>
          <w:lang w:val="fr-FR"/>
        </w:rPr>
        <w:t>es négociations et les controverses</w:t>
      </w:r>
      <w:r w:rsidRPr="00AB5C29">
        <w:rPr>
          <w:color w:val="000000"/>
          <w:sz w:val="24"/>
          <w:szCs w:val="24"/>
          <w:lang w:val="fr-FR"/>
        </w:rPr>
        <w:t xml:space="preserve"> avec des membres des « diasporas </w:t>
      </w:r>
      <w:r w:rsidR="00E63500">
        <w:rPr>
          <w:color w:val="000000"/>
          <w:sz w:val="24"/>
          <w:szCs w:val="24"/>
          <w:lang w:val="fr-FR"/>
        </w:rPr>
        <w:t>» présents au cœur du processus. Nous tenterons de rendre compte,</w:t>
      </w:r>
      <w:r w:rsidRPr="00AB5C29">
        <w:rPr>
          <w:color w:val="000000"/>
          <w:sz w:val="24"/>
          <w:szCs w:val="24"/>
          <w:lang w:val="fr-FR"/>
        </w:rPr>
        <w:t xml:space="preserve"> dans cette tentative de sortir de la période coloniale belge, </w:t>
      </w:r>
      <w:r w:rsidR="00E63500">
        <w:rPr>
          <w:color w:val="000000"/>
          <w:sz w:val="24"/>
          <w:szCs w:val="24"/>
          <w:lang w:val="fr-FR"/>
        </w:rPr>
        <w:t xml:space="preserve">de </w:t>
      </w:r>
      <w:r w:rsidRPr="00AB5C29">
        <w:rPr>
          <w:color w:val="000000"/>
          <w:sz w:val="24"/>
          <w:szCs w:val="24"/>
          <w:lang w:val="fr-FR"/>
        </w:rPr>
        <w:t xml:space="preserve">l'absence d'une réflexion profonde et publique sur </w:t>
      </w:r>
      <w:proofErr w:type="gramStart"/>
      <w:r w:rsidRPr="00AB5C29">
        <w:rPr>
          <w:color w:val="000000"/>
          <w:sz w:val="24"/>
          <w:szCs w:val="24"/>
          <w:lang w:val="fr-FR"/>
        </w:rPr>
        <w:t>la</w:t>
      </w:r>
      <w:proofErr w:type="gramEnd"/>
      <w:r w:rsidRPr="00AB5C29">
        <w:rPr>
          <w:color w:val="000000"/>
          <w:sz w:val="24"/>
          <w:szCs w:val="24"/>
          <w:lang w:val="fr-FR"/>
        </w:rPr>
        <w:t xml:space="preserve"> nécessaire décolonisation épistémologique des cadres muséographiques.</w:t>
      </w:r>
      <w:r w:rsidR="00414C77">
        <w:rPr>
          <w:color w:val="000000"/>
          <w:sz w:val="24"/>
          <w:szCs w:val="24"/>
          <w:lang w:val="fr-FR"/>
        </w:rPr>
        <w:t xml:space="preserve"> </w:t>
      </w:r>
      <w:r w:rsidR="003D6C0A">
        <w:rPr>
          <w:color w:val="000000"/>
          <w:sz w:val="24"/>
          <w:szCs w:val="24"/>
          <w:lang w:val="fr-FR"/>
        </w:rPr>
        <w:t>Une telle absence</w:t>
      </w:r>
      <w:r w:rsidR="00414C77">
        <w:rPr>
          <w:color w:val="000000"/>
          <w:sz w:val="24"/>
          <w:szCs w:val="24"/>
          <w:lang w:val="fr-FR"/>
        </w:rPr>
        <w:t xml:space="preserve"> constitue un des paradoxes de la « postcolonialité » d’</w:t>
      </w:r>
      <w:r w:rsidR="00E63500">
        <w:rPr>
          <w:color w:val="000000"/>
          <w:sz w:val="24"/>
          <w:szCs w:val="24"/>
          <w:lang w:val="fr-FR"/>
        </w:rPr>
        <w:t>une ancienne puissance impériale</w:t>
      </w:r>
      <w:r w:rsidR="00414C77">
        <w:rPr>
          <w:color w:val="000000"/>
          <w:sz w:val="24"/>
          <w:szCs w:val="24"/>
          <w:lang w:val="fr-FR"/>
        </w:rPr>
        <w:t xml:space="preserve"> qui fut forcé d’</w:t>
      </w:r>
      <w:r w:rsidR="003D6C0A">
        <w:rPr>
          <w:color w:val="000000"/>
          <w:sz w:val="24"/>
          <w:szCs w:val="24"/>
          <w:lang w:val="fr-FR"/>
        </w:rPr>
        <w:t>accepter</w:t>
      </w:r>
      <w:r w:rsidR="00414C77">
        <w:rPr>
          <w:color w:val="000000"/>
          <w:sz w:val="24"/>
          <w:szCs w:val="24"/>
          <w:lang w:val="fr-FR"/>
        </w:rPr>
        <w:t xml:space="preserve"> la </w:t>
      </w:r>
      <w:r w:rsidR="003D6C0A">
        <w:rPr>
          <w:color w:val="000000"/>
          <w:sz w:val="24"/>
          <w:szCs w:val="24"/>
          <w:lang w:val="fr-FR"/>
        </w:rPr>
        <w:t>décolonisation</w:t>
      </w:r>
      <w:r w:rsidR="00414C77">
        <w:rPr>
          <w:color w:val="000000"/>
          <w:sz w:val="24"/>
          <w:szCs w:val="24"/>
          <w:lang w:val="fr-FR"/>
        </w:rPr>
        <w:t xml:space="preserve"> du Congo sans s’auto</w:t>
      </w:r>
      <w:r w:rsidR="003D6C0A">
        <w:rPr>
          <w:color w:val="000000"/>
          <w:sz w:val="24"/>
          <w:szCs w:val="24"/>
          <w:lang w:val="fr-FR"/>
        </w:rPr>
        <w:t>-</w:t>
      </w:r>
      <w:r w:rsidR="00414C77">
        <w:rPr>
          <w:color w:val="000000"/>
          <w:sz w:val="24"/>
          <w:szCs w:val="24"/>
          <w:lang w:val="fr-FR"/>
        </w:rPr>
        <w:t>décoloniser (Mbembe, </w:t>
      </w:r>
      <w:r w:rsidR="000E3AB2">
        <w:rPr>
          <w:color w:val="000000"/>
          <w:sz w:val="24"/>
          <w:szCs w:val="24"/>
          <w:lang w:val="fr-FR"/>
        </w:rPr>
        <w:t xml:space="preserve">2013 </w:t>
      </w:r>
      <w:r w:rsidR="00414C77">
        <w:rPr>
          <w:color w:val="000000"/>
          <w:sz w:val="24"/>
          <w:szCs w:val="24"/>
          <w:lang w:val="fr-FR"/>
        </w:rPr>
        <w:t>: 6)</w:t>
      </w:r>
      <w:r w:rsidR="003D6C0A">
        <w:rPr>
          <w:color w:val="000000"/>
          <w:sz w:val="24"/>
          <w:szCs w:val="24"/>
          <w:lang w:val="fr-FR"/>
        </w:rPr>
        <w:t>.</w:t>
      </w:r>
      <w:r w:rsidR="00414C77">
        <w:rPr>
          <w:color w:val="000000"/>
          <w:sz w:val="24"/>
          <w:szCs w:val="24"/>
          <w:lang w:val="fr-FR"/>
        </w:rPr>
        <w:t xml:space="preserve">  </w:t>
      </w:r>
      <w:r w:rsidRPr="00AB5C29">
        <w:rPr>
          <w:color w:val="000000"/>
          <w:sz w:val="24"/>
          <w:szCs w:val="24"/>
          <w:lang w:val="fr-FR"/>
        </w:rPr>
        <w:t xml:space="preserve"> </w:t>
      </w:r>
    </w:p>
    <w:p w14:paraId="4B0F10F1" w14:textId="77777777" w:rsidR="003D6C0A" w:rsidRDefault="003D6C0A" w:rsidP="003D6C0A">
      <w:pPr>
        <w:pStyle w:val="NormalWeb"/>
        <w:spacing w:after="0"/>
        <w:ind w:left="-567" w:right="-631" w:firstLine="567"/>
        <w:jc w:val="both"/>
        <w:rPr>
          <w:color w:val="000000"/>
          <w:sz w:val="24"/>
          <w:szCs w:val="24"/>
          <w:lang w:val="fr-FR"/>
        </w:rPr>
      </w:pPr>
    </w:p>
    <w:p w14:paraId="1C09C3CC" w14:textId="77777777" w:rsidR="003D6C0A" w:rsidRDefault="003D6C0A" w:rsidP="003D6C0A">
      <w:pPr>
        <w:pStyle w:val="NormalWeb"/>
        <w:spacing w:after="0"/>
        <w:ind w:left="-567" w:right="-631" w:firstLine="567"/>
        <w:jc w:val="both"/>
        <w:rPr>
          <w:color w:val="000000"/>
          <w:sz w:val="24"/>
          <w:szCs w:val="24"/>
          <w:lang w:val="fr-FR"/>
        </w:rPr>
      </w:pPr>
    </w:p>
    <w:p w14:paraId="3DA91F35" w14:textId="77777777" w:rsidR="007A5C54" w:rsidRPr="00AB5C29" w:rsidRDefault="003D6C0A" w:rsidP="00E63500">
      <w:pPr>
        <w:pStyle w:val="NormalWeb"/>
        <w:spacing w:after="0"/>
        <w:ind w:left="-567" w:right="-631" w:firstLine="567"/>
        <w:jc w:val="right"/>
        <w:rPr>
          <w:lang w:val="fr-FR"/>
        </w:rPr>
      </w:pPr>
      <w:r>
        <w:rPr>
          <w:color w:val="000000"/>
          <w:sz w:val="24"/>
          <w:szCs w:val="24"/>
          <w:lang w:val="fr-FR"/>
        </w:rPr>
        <w:t>Martin Vander Elst (U.C.L.)</w:t>
      </w:r>
      <w:bookmarkStart w:id="0" w:name="_GoBack"/>
      <w:bookmarkEnd w:id="0"/>
    </w:p>
    <w:sectPr w:rsidR="007A5C54" w:rsidRPr="00AB5C29" w:rsidSect="00B444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DB"/>
    <w:rsid w:val="000E3AB2"/>
    <w:rsid w:val="002C7261"/>
    <w:rsid w:val="002F71D5"/>
    <w:rsid w:val="003D6C0A"/>
    <w:rsid w:val="00414C77"/>
    <w:rsid w:val="004B33BA"/>
    <w:rsid w:val="00784ADB"/>
    <w:rsid w:val="007A5C54"/>
    <w:rsid w:val="00AB5C29"/>
    <w:rsid w:val="00B44486"/>
    <w:rsid w:val="00E635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13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4ADB"/>
    <w:rPr>
      <w:color w:val="0000FF"/>
      <w:u w:val="single"/>
    </w:rPr>
  </w:style>
  <w:style w:type="paragraph" w:styleId="NormalWeb">
    <w:name w:val="Normal (Web)"/>
    <w:basedOn w:val="Normal"/>
    <w:uiPriority w:val="99"/>
    <w:unhideWhenUsed/>
    <w:rsid w:val="00784ADB"/>
    <w:pPr>
      <w:spacing w:before="100" w:beforeAutospacing="1" w:after="119"/>
    </w:pPr>
    <w:rPr>
      <w:rFonts w:ascii="Times" w:hAnsi="Times" w:cs="Times New Roman"/>
      <w:sz w:val="20"/>
      <w:szCs w:val="20"/>
      <w:lang w:val="en-GB"/>
    </w:rPr>
  </w:style>
  <w:style w:type="paragraph" w:customStyle="1" w:styleId="sdfootnote">
    <w:name w:val="sdfootnote"/>
    <w:basedOn w:val="Normal"/>
    <w:rsid w:val="00784ADB"/>
    <w:pPr>
      <w:spacing w:before="100" w:beforeAutospacing="1"/>
      <w:ind w:left="284" w:hanging="284"/>
    </w:pPr>
    <w:rPr>
      <w:rFonts w:ascii="Times" w:hAnsi="Times"/>
      <w:sz w:val="20"/>
      <w:szCs w:val="20"/>
      <w:lang w:val="en-GB"/>
    </w:rPr>
  </w:style>
  <w:style w:type="character" w:styleId="Strong">
    <w:name w:val="Strong"/>
    <w:basedOn w:val="DefaultParagraphFont"/>
    <w:uiPriority w:val="22"/>
    <w:qFormat/>
    <w:rsid w:val="00784ADB"/>
    <w:rPr>
      <w:b/>
      <w:bCs/>
    </w:rPr>
  </w:style>
  <w:style w:type="character" w:customStyle="1" w:styleId="st">
    <w:name w:val="st"/>
    <w:basedOn w:val="DefaultParagraphFont"/>
    <w:rsid w:val="002F71D5"/>
  </w:style>
  <w:style w:type="character" w:styleId="Emphasis">
    <w:name w:val="Emphasis"/>
    <w:basedOn w:val="DefaultParagraphFont"/>
    <w:uiPriority w:val="20"/>
    <w:qFormat/>
    <w:rsid w:val="002F71D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4ADB"/>
    <w:rPr>
      <w:color w:val="0000FF"/>
      <w:u w:val="single"/>
    </w:rPr>
  </w:style>
  <w:style w:type="paragraph" w:styleId="NormalWeb">
    <w:name w:val="Normal (Web)"/>
    <w:basedOn w:val="Normal"/>
    <w:uiPriority w:val="99"/>
    <w:unhideWhenUsed/>
    <w:rsid w:val="00784ADB"/>
    <w:pPr>
      <w:spacing w:before="100" w:beforeAutospacing="1" w:after="119"/>
    </w:pPr>
    <w:rPr>
      <w:rFonts w:ascii="Times" w:hAnsi="Times" w:cs="Times New Roman"/>
      <w:sz w:val="20"/>
      <w:szCs w:val="20"/>
      <w:lang w:val="en-GB"/>
    </w:rPr>
  </w:style>
  <w:style w:type="paragraph" w:customStyle="1" w:styleId="sdfootnote">
    <w:name w:val="sdfootnote"/>
    <w:basedOn w:val="Normal"/>
    <w:rsid w:val="00784ADB"/>
    <w:pPr>
      <w:spacing w:before="100" w:beforeAutospacing="1"/>
      <w:ind w:left="284" w:hanging="284"/>
    </w:pPr>
    <w:rPr>
      <w:rFonts w:ascii="Times" w:hAnsi="Times"/>
      <w:sz w:val="20"/>
      <w:szCs w:val="20"/>
      <w:lang w:val="en-GB"/>
    </w:rPr>
  </w:style>
  <w:style w:type="character" w:styleId="Strong">
    <w:name w:val="Strong"/>
    <w:basedOn w:val="DefaultParagraphFont"/>
    <w:uiPriority w:val="22"/>
    <w:qFormat/>
    <w:rsid w:val="00784ADB"/>
    <w:rPr>
      <w:b/>
      <w:bCs/>
    </w:rPr>
  </w:style>
  <w:style w:type="character" w:customStyle="1" w:styleId="st">
    <w:name w:val="st"/>
    <w:basedOn w:val="DefaultParagraphFont"/>
    <w:rsid w:val="002F71D5"/>
  </w:style>
  <w:style w:type="character" w:styleId="Emphasis">
    <w:name w:val="Emphasis"/>
    <w:basedOn w:val="DefaultParagraphFont"/>
    <w:uiPriority w:val="20"/>
    <w:qFormat/>
    <w:rsid w:val="002F7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78471">
      <w:bodyDiv w:val="1"/>
      <w:marLeft w:val="0"/>
      <w:marRight w:val="0"/>
      <w:marTop w:val="0"/>
      <w:marBottom w:val="0"/>
      <w:divBdr>
        <w:top w:val="none" w:sz="0" w:space="0" w:color="auto"/>
        <w:left w:val="none" w:sz="0" w:space="0" w:color="auto"/>
        <w:bottom w:val="none" w:sz="0" w:space="0" w:color="auto"/>
        <w:right w:val="none" w:sz="0" w:space="0" w:color="auto"/>
      </w:divBdr>
      <w:divsChild>
        <w:div w:id="1259800673">
          <w:marLeft w:val="0"/>
          <w:marRight w:val="0"/>
          <w:marTop w:val="0"/>
          <w:marBottom w:val="0"/>
          <w:divBdr>
            <w:top w:val="none" w:sz="0" w:space="0" w:color="auto"/>
            <w:left w:val="none" w:sz="0" w:space="0" w:color="auto"/>
            <w:bottom w:val="none" w:sz="0" w:space="0" w:color="auto"/>
            <w:right w:val="none" w:sz="0" w:space="0" w:color="auto"/>
          </w:divBdr>
        </w:div>
        <w:div w:id="1878198901">
          <w:marLeft w:val="0"/>
          <w:marRight w:val="0"/>
          <w:marTop w:val="0"/>
          <w:marBottom w:val="0"/>
          <w:divBdr>
            <w:top w:val="none" w:sz="0" w:space="0" w:color="auto"/>
            <w:left w:val="none" w:sz="0" w:space="0" w:color="auto"/>
            <w:bottom w:val="none" w:sz="0" w:space="0" w:color="auto"/>
            <w:right w:val="none" w:sz="0" w:space="0" w:color="auto"/>
          </w:divBdr>
        </w:div>
      </w:divsChild>
    </w:div>
    <w:div w:id="15221576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D928-9750-5E42-B0F5-8F015310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524</Words>
  <Characters>2901</Characters>
  <Application>Microsoft Macintosh Word</Application>
  <DocSecurity>0</DocSecurity>
  <Lines>40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2015-05-17T02:11:00Z</dcterms:created>
  <dcterms:modified xsi:type="dcterms:W3CDTF">2015-05-17T03:34:00Z</dcterms:modified>
  <cp:category/>
</cp:coreProperties>
</file>